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42B" w:rsidRDefault="00EF142B">
      <w:pPr>
        <w:spacing w:after="12" w:line="249" w:lineRule="auto"/>
        <w:ind w:right="6"/>
        <w:jc w:val="center"/>
      </w:pPr>
      <w:bookmarkStart w:id="0" w:name="_GoBack"/>
      <w:r>
        <w:rPr>
          <w:b/>
        </w:rPr>
        <w:t>О внесении изменений в Прейскурант № 10-01</w:t>
      </w:r>
    </w:p>
    <w:p w:rsidR="00EF142B" w:rsidRDefault="00EF142B">
      <w:pPr>
        <w:spacing w:after="384" w:line="249" w:lineRule="auto"/>
        <w:jc w:val="center"/>
      </w:pPr>
      <w:r>
        <w:rPr>
          <w:b/>
        </w:rPr>
        <w:t>«Тарифы на перевозки грузов и услуги инфраструктуры, выполняемые российскими железными дорогами»</w:t>
      </w:r>
    </w:p>
    <w:bookmarkEnd w:id="0"/>
    <w:p w:rsidR="00EF142B" w:rsidRDefault="00EF142B" w:rsidP="002B0ED9">
      <w:pPr>
        <w:autoSpaceDE w:val="0"/>
        <w:autoSpaceDN w:val="0"/>
        <w:adjustRightInd w:val="0"/>
        <w:spacing w:after="0" w:line="360" w:lineRule="auto"/>
        <w:ind w:firstLine="709"/>
      </w:pPr>
      <w:r w:rsidRPr="002B0ED9">
        <w:t xml:space="preserve">В соответствии с Федеральным </w:t>
      </w:r>
      <w:hyperlink r:id="rId7" w:tooltip="Федеральный закон от 17.08.1995 N 147-ФЗ (ред. от 05.10.2015) &quot;О естественных монополиях&quot;{КонсультантПлюс}" w:history="1">
        <w:r w:rsidRPr="002B0ED9">
          <w:t>законом</w:t>
        </w:r>
      </w:hyperlink>
      <w:r w:rsidRPr="002B0ED9">
        <w:t xml:space="preserve"> от 17 августа 1995 года № 147-ФЗ «О естественных монополиях» (Собрание законодательства Российской Федерации, 1995, № 34, ст. 3426; 2001, № 33 (часть I), ст. 3429; 2002, № 1 (часть I), ст. 2; 2003, № 2, ст. 168; № 13, ст. 1181; 2004, № 27, ст. 2711; 2006, № 1, ст. 10; № 19, ст. 2063; 2007, № 1 (часть I), ст. 21; № 43, ст. 5084; № 46, ст. 5557; 2008, № 52 (часть I), ст. 6236; 2011, № 29, ст. 4281; № 30 (часть I), ст. 4590; № 30 (часть I), ст. 4596; № 50, ст. 7343; 2012, № 26, ст. 3446; № 31, ст. 4321; № 53 (часть I), ст. 7616; 2015, № 41 (часть I) ст. 5629), </w:t>
      </w:r>
      <w:hyperlink r:id="rId8" w:tooltip="Постановление Правительства РФ от 30.06.2004 N 331 (ред. от 01.07.2016) &quot;Об утверждении Положения о Федеральной антимонопольной службе&quot;{КонсультантПлюс}" w:history="1">
        <w:r w:rsidRPr="002B0ED9">
          <w:t>Положением</w:t>
        </w:r>
      </w:hyperlink>
      <w:r w:rsidRPr="002B0ED9">
        <w:t xml:space="preserve"> о Федеральной антимонопольной службе, утвержденным постановлением Правительства Российской Федерации от 30 июня 2004 года № 331 (Собрание законодательства Российской Федерации, 2004, № 31, ст. 3259; 2006, № 45, ст. 4706; № 49, ст. 5223; 2007, № 7, ст. 903; 2008, № 13, ст. 1316; № 44, ст. 5089; 2009, № 2, ст. 248; № 3, ст. 378; № 39, ст. 4613; 2010, № 9, ст. 960; № 25, ст. 3181; 2011, № 14, ст. 1935; № 18, ст. 2645; № 44, ст. 6269; 2012, № 27, ст. 3741; № 39, ст. 5283; № 52, ст. 7518; 2013, № 35, ст. 4514; № 36, ст. 4578; № 45, ст. 5822; 2014, № 35, ст. 4774; 2015, № 1, ст. 279; № 10, ст. 1543; № 37, ст. 5153; № 44, ст. 6133; № 49, ст. 6994; 2016, № 1 (часть II), ст. 239); № 28, ст. 4741, № 38, ст. 5564, № 43, ст. 6030), </w:t>
      </w:r>
      <w:hyperlink r:id="rId9" w:tooltip="Постановление Правительства РФ от 05.08.2009 N 643 (ред. от 04.09.2015) &quot;О государственном регулировании тарифов, сборов и платы в отношении работ (услуг) субъектов естественных монополий в сфере железнодорожных перевозок&quot; (вместе с &quot;Положением о государственн" w:history="1">
        <w:r w:rsidRPr="002B0ED9">
          <w:t>постановлением</w:t>
        </w:r>
      </w:hyperlink>
      <w:r w:rsidRPr="002B0ED9">
        <w:t xml:space="preserve"> Правительства Российской Федерации от 5 августа 2009 года № 643 «О государственном регулировании тарифов, сборов и платы в отношении работ (услуг) субъектов естественных монополий в сфере железнодорожных перевозок» (Собрание законодательства Российской Федерации, 2009, № 32, ст. 4051; 2013, № 27, ст. 3602; 2015, № 37, ст. 5153; 2017, № 2 (Ч</w:t>
      </w:r>
      <w:r>
        <w:t>асть II), ст. 398), приказываю:</w:t>
      </w:r>
    </w:p>
    <w:p w:rsidR="00EF142B" w:rsidRDefault="00EF142B" w:rsidP="002B0ED9">
      <w:pPr>
        <w:spacing w:after="0" w:line="360" w:lineRule="auto"/>
        <w:ind w:left="-15" w:firstLine="710"/>
      </w:pPr>
      <w:r>
        <w:t xml:space="preserve">1. Внести следующие изменения и дополнения в </w:t>
      </w:r>
      <w:hyperlink r:id="rId10">
        <w:r>
          <w:t>Прейскурант № 10-01</w:t>
        </w:r>
      </w:hyperlink>
      <w:hyperlink r:id="rId11">
        <w:r w:rsidRPr="001B735B">
          <w:rPr>
            <w:rStyle w:val="Hyperlink"/>
          </w:rPr>
          <w:t>consultantplus://offline/ref=14340C4F749824123E7BC3738441926DA1765799A839E09F7378B9F9B39553190F259FAC7927D27213J8P</w:t>
        </w:r>
      </w:hyperlink>
      <w:r>
        <w:t xml:space="preserve">«Тарифы на перевозки грузов и услуги инфраструктуры, выполняемые российскими железными дорогами» (Тарифное руководство № 1, части 1 и 2), утвержденным постановлением ФЭК России от 17 июня 2003 года № 47-т/5 (зарегистрировано Минюстом России 9 июля 2003 года, регистрационный № 4882), </w:t>
      </w:r>
      <w:r w:rsidRPr="00317BA5">
        <w:rPr>
          <w:szCs w:val="28"/>
        </w:rPr>
        <w:t>с изменениями и дополнениями, внесенными постановлением ФЭК России от 21 октября 2003 года № 85-т/1 (зарегистрирован Минюстом России 31 декабря 2003 года, регистрационный № 5374); приказами ФСТ России от 14 сентября 2004 года № 71-т/1 (зарегистрирован Минюстом России 20 октября 2004 года, регистрационный № 6075); от 26 октября 2004 года № 140-т/1 (зарегистрирован Минюстом России 2 декабря 2004 года, регистрационный № 6163); от 26 октября 2004 года № 141-т/2 (зарегистрирован Минюстом России 7 декабря 2004 года, регистрационный № 6174); от 16 декабря 2004 года № 295-т/4 (зарегистрирован Минюстом России 17 декабря 2004 года, регистрационный № 6202); от 29 декабря 2004 года № 422-т/2 (зарегистрирован Минюстом России 18 января 2005 года, регистрационный № 6273); от 17 мая 2005 года № 204-т/5 (зарегистрирован Минюстом России 6 июня 2005 года, регистрационный № 6685); от 13 декабря 2005 года № 617-т/5 (зарегистрирован Минюстом России 20 декабря 2005 года, регистрационный № 7287); от 18 апреля 2006 года № 79-т/2 (зарегистрирован Минюстом России 18 мая 2006 года, регистрационный № 7851); от 25 апреля 2006 года № 83-т/2 (зарегистрирован Минюстом России 19 мая 2006 года, регистрационный № 7858); от 25 апреля 2006 года № 84-т/3 (зарегистрирован Минюстом России 19 мая 2006 года, регистрационный № 7867); от 19 июня 2006 года № 129-т/2 (зарегистрирован Минюстом России 17 июля 2006 года, регистрационный № 8080); от 19 июня 2006 года № 133-т/6 (зарегистрирован Минюстом России 19 июня 2006 года, регистрационный № 7936); от 9 декабря 2006 года № 355-т/6 (зарегистрирован Минюстом России 18 декабря 2006 года, регистрационный № 8627); от 4 декабря 2007 года № 410-т/6 (зарегистрирован Минюстом России 14 декабря 2007 года, регистрационный № 10721); от 25 апреля 2008 года № 83-т/1 (зарегистрирован Минюстом России 6 мая 2008 года, регистрационный № 11627); от 24 декабря 2008 года № 462-т/3 (зарегистрирован Минюстом России 29 декабря 2008 года, регистрационный № 13028); от 30 декабря 2008 года № 474-т/1 (зарегистрирован Минюстом России 30 декабря 2008 года, регистрационный № 13053); от 14 августа 2009 года № 188-т/1 (зарегистрирован Минюстом России 21 октября 2009 года, регистрационный № 15080); от 24 декабря 2009 года № 497-т/1 (зарегистрирован Минюстом России 13 января 2010 года, регистрационный № 15954); от 27 февраля 2010 года № 28-т/1 (зарегистрирован Минюстом России 24 марта 2010 года, регистрационный № 16710); от 7 декабря 2010 года № 388-т/3 (зарегистрирован Минюстом России 16 декабря 2010 года, регистрационный № 19203); от 20 мая 2011 года № 104-т/1 (зарегистрирован Минюстом России 28 июня 2011 года, регистрационный № 21205); от 29 июля 2011 года № 182-т/1 (зарегистрирован Минюстом России 3 октября 2011 года, регистрационный № 21961); от 6 декабря 2011 года № 318-т/3 (зарегистрирован Минюстом России 14 декабря 2011 года, регистрационный № 22607); от 4 мая 2012 года № 78-т/1 (зарегистрирован Минюстом России 4 июля 2012 года, регистрационный № 24789); от 27 ноября 2012 года № 303-т/3 (зарегистрирован Минюстом России 10 декабря 2012 года, регистрационный № 26052); от 18 декабря 2012 года № 396-т/1 (зарегистрирован Минюстом России 29 декабря 2012 года, регистрационный № 26459); от 9 апреля 2013 года № 61-т/1 (зарегистрирован Минюстом России 18 апреля 2013 года, регистрационный № 28176); от 5 июня 2013 года № 105-т/1 (зарегистрирован Минюстом России 15 июля 2013 года, регистрационный № 29069); от 17 июля 2013 года № 140-т/6 (зарегистрирован Минюстом России 14 августа 2013 года, регистрационный № 29393); от 12 ноября 2013 года № 197-т/1 (зарегистрирован Минюстом России 16 декабря 2013 года, регистрационный № 30601), от 12 марта 2014 года № 52-т/1 (зарегистрирован Минюстом России 29 апреля 2014 года, регистрационный № 32151), от 29 декабря 2014 года № 311-т/1 (зарегистрирован Минюстом России 29 января 2015 года, регистрационный № 35781), приказом ФАС России от 10 декабря 2015 года № 1226/15 (зарегистрирован Минюстом России 22 декабря 2015 года, регистрационный № 40184), приказом ФАС России от 29 апреля 2016 года № 557/16 (зарегистрирован Минюстом России 28 июня 2016 года, регистрационный № 42669), приказом ФАС России от 29 апреля 2016 года № 558/16 (зарегистрирован Минюстом России 28 июня 2016 года, регистрационный № 42663), приказом ФАС России от 7 ноября 2016 года № 1549/16 (зарегистрировано Минюстом России 19 декабря 2016 года, регистрационный № 44788), приказом ФАС России от 14 декабря 2016 года № 1765/16 (зарегистрирован Минюстом России 22 декабря 2016 года, регистрационный № 44870), приказом ФАС России от 26 декабря 2016 года № 1841/16 (зарегистрирован Минюстом России 29 декабря 2016 года, регистрационный № 45059), приказом ФАС России от 31 января 2017 года № 77/17 (зарегистрирован Минюстом России 20 февраля 2017 года, регистрационный № 45711)  (далее - Прейскурант № 10-01)</w:t>
      </w:r>
      <w:r>
        <w:t>:</w:t>
      </w:r>
    </w:p>
    <w:p w:rsidR="00EF142B" w:rsidRDefault="00EF142B" w:rsidP="00E76CA7">
      <w:pPr>
        <w:pStyle w:val="ListParagraph"/>
        <w:tabs>
          <w:tab w:val="center" w:pos="920"/>
          <w:tab w:val="right" w:pos="9640"/>
        </w:tabs>
        <w:spacing w:after="0" w:line="360" w:lineRule="auto"/>
        <w:ind w:left="0" w:firstLine="709"/>
      </w:pPr>
      <w:r>
        <w:t xml:space="preserve">1.1. Дополнить Раздел </w:t>
      </w:r>
      <w:r>
        <w:rPr>
          <w:lang w:val="en-US"/>
        </w:rPr>
        <w:t>XI</w:t>
      </w:r>
      <w:r w:rsidRPr="00810551">
        <w:t xml:space="preserve">. </w:t>
      </w:r>
      <w:r>
        <w:t>«Прочие грузы» Таблицы № 1 приложения 2 к разделу 2 Прейскуранта № 10-01 строкой следующего содержания:</w:t>
      </w:r>
    </w:p>
    <w:p w:rsidR="00EF142B" w:rsidRDefault="00EF142B" w:rsidP="00E76CA7">
      <w:pPr>
        <w:spacing w:after="0" w:line="360" w:lineRule="auto"/>
        <w:ind w:left="-5"/>
      </w:pPr>
      <w:r>
        <w:t>«</w:t>
      </w:r>
    </w:p>
    <w:tbl>
      <w:tblPr>
        <w:tblW w:w="9646" w:type="dxa"/>
        <w:tblInd w:w="-2" w:type="dxa"/>
        <w:tblCellMar>
          <w:top w:w="66" w:type="dxa"/>
          <w:left w:w="58" w:type="dxa"/>
          <w:right w:w="16" w:type="dxa"/>
        </w:tblCellMar>
        <w:tblLook w:val="00A0"/>
      </w:tblPr>
      <w:tblGrid>
        <w:gridCol w:w="1424"/>
        <w:gridCol w:w="5596"/>
        <w:gridCol w:w="1424"/>
        <w:gridCol w:w="1202"/>
      </w:tblGrid>
      <w:tr w:rsidR="00EF142B" w:rsidTr="00922E33">
        <w:trPr>
          <w:trHeight w:val="1076"/>
        </w:trPr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42B" w:rsidRDefault="00EF142B" w:rsidP="00922E33">
            <w:pPr>
              <w:spacing w:after="0" w:line="360" w:lineRule="auto"/>
              <w:ind w:left="0" w:firstLine="0"/>
              <w:jc w:val="center"/>
            </w:pPr>
            <w:r>
              <w:t xml:space="preserve">Код позиции </w:t>
            </w:r>
          </w:p>
          <w:p w:rsidR="00EF142B" w:rsidRDefault="00EF142B" w:rsidP="00922E33">
            <w:pPr>
              <w:spacing w:after="0" w:line="360" w:lineRule="auto"/>
              <w:ind w:left="210" w:firstLine="0"/>
              <w:jc w:val="left"/>
            </w:pPr>
            <w:r>
              <w:t>ЕТСНГ</w:t>
            </w:r>
          </w:p>
        </w:tc>
        <w:tc>
          <w:tcPr>
            <w:tcW w:w="5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42B" w:rsidRDefault="00EF142B" w:rsidP="00922E33">
            <w:pPr>
              <w:spacing w:after="0" w:line="360" w:lineRule="auto"/>
              <w:ind w:left="0" w:right="41" w:firstLine="0"/>
              <w:jc w:val="center"/>
            </w:pPr>
            <w:r>
              <w:t>Наименование позиции ЕТСНГ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42B" w:rsidRDefault="00EF142B" w:rsidP="00922E33">
            <w:pPr>
              <w:spacing w:after="0" w:line="360" w:lineRule="auto"/>
              <w:ind w:left="47" w:hanging="27"/>
              <w:jc w:val="center"/>
            </w:pPr>
            <w:r>
              <w:t>Тарифный класс груза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42B" w:rsidRDefault="00EF142B" w:rsidP="00922E33">
            <w:pPr>
              <w:spacing w:after="0" w:line="360" w:lineRule="auto"/>
              <w:ind w:left="0" w:firstLine="0"/>
              <w:jc w:val="center"/>
            </w:pPr>
            <w:r>
              <w:t>МВН, тонн</w:t>
            </w:r>
          </w:p>
        </w:tc>
      </w:tr>
      <w:tr w:rsidR="00EF142B" w:rsidTr="00922E33">
        <w:trPr>
          <w:trHeight w:val="434"/>
        </w:trPr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42B" w:rsidRDefault="00EF142B" w:rsidP="00922E33">
            <w:pPr>
              <w:spacing w:after="0" w:line="360" w:lineRule="auto"/>
              <w:ind w:left="0" w:right="38" w:firstLine="0"/>
              <w:jc w:val="center"/>
            </w:pPr>
            <w:r>
              <w:t>1</w:t>
            </w:r>
          </w:p>
        </w:tc>
        <w:tc>
          <w:tcPr>
            <w:tcW w:w="5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42B" w:rsidRDefault="00EF142B" w:rsidP="00922E33">
            <w:pPr>
              <w:spacing w:after="0" w:line="360" w:lineRule="auto"/>
              <w:ind w:left="0" w:right="38" w:firstLine="0"/>
              <w:jc w:val="center"/>
            </w:pPr>
            <w:r>
              <w:t>2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42B" w:rsidRDefault="00EF142B" w:rsidP="00922E33">
            <w:pPr>
              <w:spacing w:after="0" w:line="360" w:lineRule="auto"/>
              <w:ind w:left="0" w:right="38" w:firstLine="0"/>
              <w:jc w:val="center"/>
            </w:pPr>
            <w:r>
              <w:t>3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42B" w:rsidRPr="002B0ED9" w:rsidRDefault="00EF142B" w:rsidP="00922E33">
            <w:pPr>
              <w:spacing w:after="0" w:line="360" w:lineRule="auto"/>
              <w:ind w:left="0" w:right="36" w:firstLine="0"/>
              <w:jc w:val="center"/>
            </w:pPr>
            <w:r>
              <w:t>4</w:t>
            </w:r>
          </w:p>
        </w:tc>
      </w:tr>
      <w:tr w:rsidR="00EF142B" w:rsidTr="00922E33">
        <w:trPr>
          <w:trHeight w:val="432"/>
        </w:trPr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42B" w:rsidRDefault="00EF142B" w:rsidP="00922E33">
            <w:pPr>
              <w:spacing w:after="0" w:line="360" w:lineRule="auto"/>
              <w:ind w:left="0" w:right="38" w:firstLine="0"/>
              <w:jc w:val="center"/>
            </w:pPr>
            <w:r>
              <w:t>694022</w:t>
            </w:r>
          </w:p>
        </w:tc>
        <w:tc>
          <w:tcPr>
            <w:tcW w:w="5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42B" w:rsidRDefault="00EF142B" w:rsidP="00922E33">
            <w:pPr>
              <w:spacing w:after="0" w:line="360" w:lineRule="auto"/>
              <w:ind w:left="0" w:firstLine="0"/>
              <w:jc w:val="left"/>
            </w:pPr>
            <w:r>
              <w:t>Коммунальные отходы в сортированном виде в пакетированном виде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42B" w:rsidRDefault="00EF142B" w:rsidP="00922E33">
            <w:pPr>
              <w:spacing w:after="0" w:line="360" w:lineRule="auto"/>
              <w:ind w:left="0" w:right="38" w:firstLine="0"/>
              <w:jc w:val="center"/>
            </w:pPr>
            <w:r>
              <w:t>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F142B" w:rsidRPr="002B0ED9" w:rsidRDefault="00EF142B" w:rsidP="00922E33">
            <w:pPr>
              <w:spacing w:after="0" w:line="360" w:lineRule="auto"/>
              <w:ind w:left="0" w:right="36" w:firstLine="0"/>
              <w:jc w:val="center"/>
            </w:pPr>
            <w:r>
              <w:t xml:space="preserve">36 </w:t>
            </w:r>
            <w:r w:rsidRPr="002B0ED9">
              <w:t>&lt;9&gt;</w:t>
            </w:r>
          </w:p>
        </w:tc>
      </w:tr>
    </w:tbl>
    <w:p w:rsidR="00EF142B" w:rsidRDefault="00EF142B" w:rsidP="00E76CA7">
      <w:pPr>
        <w:spacing w:after="0" w:line="360" w:lineRule="auto"/>
        <w:ind w:left="0" w:firstLine="0"/>
        <w:jc w:val="right"/>
      </w:pPr>
      <w:r>
        <w:rPr>
          <w:sz w:val="24"/>
        </w:rPr>
        <w:t>».</w:t>
      </w:r>
    </w:p>
    <w:p w:rsidR="00EF142B" w:rsidRPr="00B939B6" w:rsidRDefault="00EF142B" w:rsidP="00E76CA7">
      <w:pPr>
        <w:pStyle w:val="ConsPlusNormal"/>
        <w:widowControl w:val="0"/>
        <w:adjustRightInd/>
        <w:spacing w:line="360" w:lineRule="auto"/>
        <w:ind w:firstLine="709"/>
        <w:jc w:val="both"/>
      </w:pPr>
      <w:r>
        <w:t>1.</w:t>
      </w:r>
      <w:r w:rsidRPr="00E76CA7">
        <w:t>2</w:t>
      </w:r>
      <w:r>
        <w:t xml:space="preserve">. </w:t>
      </w:r>
      <w:hyperlink r:id="rId12" w:history="1">
        <w:r w:rsidRPr="00B939B6">
          <w:t>Дополнить</w:t>
        </w:r>
      </w:hyperlink>
      <w:r w:rsidRPr="00B939B6">
        <w:t xml:space="preserve"> таблицу </w:t>
      </w:r>
      <w:r>
        <w:t>№</w:t>
      </w:r>
      <w:r w:rsidRPr="00B939B6">
        <w:t xml:space="preserve"> 1 приложения 2 к разделу 2 Прейскуранта </w:t>
      </w:r>
      <w:r>
        <w:t>№</w:t>
      </w:r>
      <w:r w:rsidRPr="00B939B6">
        <w:t xml:space="preserve"> 10-01 примечанием &lt;</w:t>
      </w:r>
      <w:r w:rsidRPr="00E76CA7">
        <w:t>9</w:t>
      </w:r>
      <w:r w:rsidRPr="00B939B6">
        <w:t>&gt; в следующей редакции:</w:t>
      </w:r>
    </w:p>
    <w:p w:rsidR="00EF142B" w:rsidRPr="00E76CA7" w:rsidRDefault="00EF142B" w:rsidP="00E76CA7">
      <w:pPr>
        <w:pStyle w:val="ConsPlusNormal"/>
        <w:widowControl w:val="0"/>
        <w:adjustRightInd/>
        <w:spacing w:line="360" w:lineRule="auto"/>
        <w:ind w:firstLine="709"/>
        <w:jc w:val="both"/>
      </w:pPr>
      <w:r>
        <w:t>«</w:t>
      </w:r>
      <w:r w:rsidRPr="00B939B6">
        <w:t>&lt;</w:t>
      </w:r>
      <w:r w:rsidRPr="00E76CA7">
        <w:t>9</w:t>
      </w:r>
      <w:r w:rsidRPr="00B939B6">
        <w:t>&gt;</w:t>
      </w:r>
      <w:r w:rsidRPr="00E76CA7">
        <w:t xml:space="preserve">МВН 36 т при перевозке в </w:t>
      </w:r>
      <w:r>
        <w:t>универсальных</w:t>
      </w:r>
      <w:r>
        <w:rPr>
          <w:lang w:val="en-US"/>
        </w:rPr>
        <w:t xml:space="preserve"> </w:t>
      </w:r>
      <w:r w:rsidRPr="00E76CA7">
        <w:t>полувагонах</w:t>
      </w:r>
      <w:r w:rsidRPr="00B939B6">
        <w:t>.</w:t>
      </w:r>
      <w:r>
        <w:t>»</w:t>
      </w:r>
      <w:r w:rsidRPr="00B939B6">
        <w:t>.</w:t>
      </w:r>
    </w:p>
    <w:p w:rsidR="00EF142B" w:rsidRDefault="00EF142B" w:rsidP="008E17CC">
      <w:pPr>
        <w:spacing w:after="0" w:line="360" w:lineRule="auto"/>
        <w:ind w:left="-17" w:firstLine="710"/>
      </w:pPr>
      <w:r>
        <w:t>2. Контроль исполнения настоящего приказа возложить на заместителя руководителя ФАС России А.В. Редько.</w:t>
      </w:r>
    </w:p>
    <w:p w:rsidR="00EF142B" w:rsidRDefault="00EF142B" w:rsidP="008E17CC">
      <w:pPr>
        <w:spacing w:after="0" w:line="360" w:lineRule="auto"/>
        <w:ind w:left="-17" w:firstLine="710"/>
      </w:pPr>
    </w:p>
    <w:p w:rsidR="00EF142B" w:rsidRDefault="00EF142B" w:rsidP="008E17CC">
      <w:pPr>
        <w:tabs>
          <w:tab w:val="right" w:pos="9640"/>
        </w:tabs>
        <w:spacing w:line="360" w:lineRule="auto"/>
        <w:ind w:left="-17" w:firstLine="0"/>
        <w:jc w:val="left"/>
      </w:pPr>
      <w:r>
        <w:t xml:space="preserve">Руководитель </w:t>
      </w:r>
      <w:r>
        <w:tab/>
        <w:t xml:space="preserve"> И.Ю. Артемьев</w:t>
      </w:r>
    </w:p>
    <w:sectPr w:rsidR="00EF142B" w:rsidSect="001923B6">
      <w:footerReference w:type="even" r:id="rId13"/>
      <w:footerReference w:type="first" r:id="rId14"/>
      <w:pgSz w:w="11900" w:h="16840"/>
      <w:pgMar w:top="1136" w:right="1124" w:bottom="1739" w:left="1136" w:header="720" w:footer="29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42B" w:rsidRDefault="00EF142B">
      <w:pPr>
        <w:spacing w:after="0" w:line="240" w:lineRule="auto"/>
      </w:pPr>
      <w:r>
        <w:separator/>
      </w:r>
    </w:p>
  </w:endnote>
  <w:endnote w:type="continuationSeparator" w:id="1">
    <w:p w:rsidR="00EF142B" w:rsidRDefault="00EF1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42B" w:rsidRDefault="00EF142B">
    <w:pPr>
      <w:spacing w:after="0" w:line="259" w:lineRule="auto"/>
      <w:ind w:left="284" w:firstLine="0"/>
      <w:jc w:val="left"/>
    </w:pPr>
    <w:r>
      <w:rPr>
        <w:sz w:val="24"/>
      </w:rPr>
      <w:t xml:space="preserve">2017-4335(3)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42B" w:rsidRDefault="00EF142B">
    <w:pPr>
      <w:spacing w:after="0" w:line="259" w:lineRule="auto"/>
      <w:ind w:left="284" w:firstLine="0"/>
      <w:jc w:val="left"/>
    </w:pPr>
    <w:r>
      <w:rPr>
        <w:sz w:val="24"/>
      </w:rPr>
      <w:t xml:space="preserve">2017-4335(3)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42B" w:rsidRDefault="00EF142B">
      <w:pPr>
        <w:spacing w:after="0" w:line="240" w:lineRule="auto"/>
      </w:pPr>
      <w:r>
        <w:separator/>
      </w:r>
    </w:p>
  </w:footnote>
  <w:footnote w:type="continuationSeparator" w:id="1">
    <w:p w:rsidR="00EF142B" w:rsidRDefault="00EF1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91DDF"/>
    <w:multiLevelType w:val="multilevel"/>
    <w:tmpl w:val="6AA8236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7FE"/>
    <w:rsid w:val="000E3568"/>
    <w:rsid w:val="00185A9E"/>
    <w:rsid w:val="001923B6"/>
    <w:rsid w:val="001B735B"/>
    <w:rsid w:val="001E6513"/>
    <w:rsid w:val="00282843"/>
    <w:rsid w:val="002B0ED9"/>
    <w:rsid w:val="002B2E0A"/>
    <w:rsid w:val="00317BA5"/>
    <w:rsid w:val="00331BCE"/>
    <w:rsid w:val="003D7DEF"/>
    <w:rsid w:val="004E27FE"/>
    <w:rsid w:val="005C0A81"/>
    <w:rsid w:val="006802E6"/>
    <w:rsid w:val="00783F2C"/>
    <w:rsid w:val="00810551"/>
    <w:rsid w:val="008E17CC"/>
    <w:rsid w:val="00922E33"/>
    <w:rsid w:val="00A253B6"/>
    <w:rsid w:val="00B7323A"/>
    <w:rsid w:val="00B939B6"/>
    <w:rsid w:val="00C90AA2"/>
    <w:rsid w:val="00CC4AEA"/>
    <w:rsid w:val="00CD670B"/>
    <w:rsid w:val="00D61E28"/>
    <w:rsid w:val="00DA6BDC"/>
    <w:rsid w:val="00DF1866"/>
    <w:rsid w:val="00E76CA7"/>
    <w:rsid w:val="00EF1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3B6"/>
    <w:pPr>
      <w:spacing w:after="3" w:line="357" w:lineRule="auto"/>
      <w:ind w:left="10" w:hanging="10"/>
      <w:jc w:val="both"/>
    </w:pPr>
    <w:rPr>
      <w:rFonts w:ascii="Times New Roman" w:hAnsi="Times New Roman"/>
      <w:color w:val="000000"/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uiPriority w:val="99"/>
    <w:rsid w:val="001923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rsid w:val="000E3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E3568"/>
    <w:rPr>
      <w:rFonts w:ascii="Times New Roman" w:hAnsi="Times New Roman" w:cs="Times New Roman"/>
      <w:color w:val="000000"/>
      <w:sz w:val="28"/>
    </w:rPr>
  </w:style>
  <w:style w:type="paragraph" w:styleId="Footer">
    <w:name w:val="footer"/>
    <w:basedOn w:val="Normal"/>
    <w:link w:val="FooterChar"/>
    <w:uiPriority w:val="99"/>
    <w:semiHidden/>
    <w:rsid w:val="000E35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E3568"/>
    <w:rPr>
      <w:rFonts w:ascii="Times New Roman" w:hAnsi="Times New Roman" w:cs="Times New Roman"/>
      <w:color w:val="000000"/>
      <w:sz w:val="28"/>
    </w:rPr>
  </w:style>
  <w:style w:type="paragraph" w:styleId="ListParagraph">
    <w:name w:val="List Paragraph"/>
    <w:basedOn w:val="Normal"/>
    <w:uiPriority w:val="99"/>
    <w:qFormat/>
    <w:rsid w:val="000E3568"/>
    <w:pPr>
      <w:ind w:left="720"/>
      <w:contextualSpacing/>
    </w:pPr>
  </w:style>
  <w:style w:type="paragraph" w:customStyle="1" w:styleId="ConsPlusNormal">
    <w:name w:val="ConsPlusNormal"/>
    <w:uiPriority w:val="99"/>
    <w:rsid w:val="00E76CA7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Hyperlink">
    <w:name w:val="Hyperlink"/>
    <w:basedOn w:val="DefaultParagraphFont"/>
    <w:uiPriority w:val="99"/>
    <w:rsid w:val="001B735B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8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340C4F749824123E7BC3738441926DA271529BA439E09F7378B9F9B39553190F259FAC7927D27113J8P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4340C4F749824123E7BC3738441926DA1795597A639E09F7378B9F9B319J5P" TargetMode="External"/><Relationship Id="rId12" Type="http://schemas.openxmlformats.org/officeDocument/2006/relationships/hyperlink" Target="consultantplus://offline/ref=FEAD90951598B29CC79A2CD1F83DB194A6115A093BAEED7F0D8E2520CED8B5F081A0BBB238988CE7P373Q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4340C4F749824123E7BC3738441926DA1765799A839E09F7378B9F9B39553190F259FAC7927D27213J8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4340C4F749824123E7BC3738441926DA1765799A839E09F7378B9F9B39553190F259FAC7927D27213J8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4340C4F749824123E7BC3738441926DA1795696A53EE09F7378B9F9B319J5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123</TotalTime>
  <Pages>5</Pages>
  <Words>1353</Words>
  <Characters>7717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Шаров Николай Вячеславович</dc:creator>
  <cp:keywords/>
  <dc:description/>
  <cp:lastModifiedBy>Пользователь Windows</cp:lastModifiedBy>
  <cp:revision>3</cp:revision>
  <dcterms:created xsi:type="dcterms:W3CDTF">2017-06-29T14:15:00Z</dcterms:created>
  <dcterms:modified xsi:type="dcterms:W3CDTF">2017-07-08T15:57:00Z</dcterms:modified>
</cp:coreProperties>
</file>